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429B0" w14:textId="2986A8E7" w:rsidR="00044FEC" w:rsidRPr="00044FEC" w:rsidRDefault="00044FEC" w:rsidP="00044FEC">
      <w:pPr>
        <w:ind w:firstLine="0"/>
        <w:jc w:val="right"/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Anexa nr. 5 </w:t>
      </w:r>
    </w:p>
    <w:p w14:paraId="0D20266C" w14:textId="77777777" w:rsidR="00044FEC" w:rsidRPr="00044FEC" w:rsidRDefault="00044FEC" w:rsidP="00044FEC">
      <w:pPr>
        <w:tabs>
          <w:tab w:val="left" w:pos="1134"/>
        </w:tabs>
        <w:ind w:firstLine="0"/>
        <w:jc w:val="right"/>
        <w:rPr>
          <w:sz w:val="24"/>
          <w:szCs w:val="24"/>
          <w:shd w:val="clear" w:color="auto" w:fill="FFFFFF"/>
          <w:lang w:val="ro-RO"/>
        </w:rPr>
      </w:pPr>
      <w:r w:rsidRPr="00044FEC">
        <w:rPr>
          <w:sz w:val="24"/>
          <w:szCs w:val="24"/>
          <w:lang w:val="ro-RO" w:eastAsia="ru-RU"/>
        </w:rPr>
        <w:t xml:space="preserve">la </w:t>
      </w:r>
      <w:r w:rsidRPr="00044FEC">
        <w:rPr>
          <w:sz w:val="24"/>
          <w:szCs w:val="24"/>
          <w:shd w:val="clear" w:color="auto" w:fill="FFFFFF"/>
          <w:lang w:val="ro-RO"/>
        </w:rPr>
        <w:t xml:space="preserve">Regulamentul privind gestionarea bateriilor </w:t>
      </w:r>
      <w:r w:rsidRPr="00044FEC">
        <w:rPr>
          <w:sz w:val="24"/>
          <w:szCs w:val="24"/>
          <w:shd w:val="clear" w:color="auto" w:fill="FFFFFF"/>
          <w:lang w:val="ro-RO"/>
        </w:rPr>
        <w:br/>
        <w:t xml:space="preserve">și acumulatorilor și </w:t>
      </w:r>
      <w:r w:rsidRPr="00044FEC">
        <w:rPr>
          <w:sz w:val="24"/>
          <w:szCs w:val="24"/>
          <w:lang w:val="ro-RO" w:eastAsia="ru-RU"/>
        </w:rPr>
        <w:t>deșeurilor de baterii și acumulatori</w:t>
      </w:r>
    </w:p>
    <w:p w14:paraId="256EBCC7" w14:textId="77777777" w:rsidR="00044FEC" w:rsidRPr="00044FEC" w:rsidRDefault="00044FEC" w:rsidP="00044FEC">
      <w:pPr>
        <w:ind w:right="-394"/>
        <w:jc w:val="center"/>
        <w:rPr>
          <w:b/>
          <w:bCs/>
          <w:sz w:val="24"/>
          <w:szCs w:val="24"/>
          <w:lang w:val="ro-RO"/>
        </w:rPr>
      </w:pPr>
    </w:p>
    <w:p w14:paraId="244CD2F8" w14:textId="77777777" w:rsidR="00044FEC" w:rsidRPr="00044FEC" w:rsidRDefault="00044FEC" w:rsidP="00044FEC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044FEC">
        <w:rPr>
          <w:b/>
          <w:bCs/>
          <w:sz w:val="24"/>
          <w:szCs w:val="24"/>
          <w:lang w:val="ro-RO"/>
        </w:rPr>
        <w:t xml:space="preserve">MODALITATEA DE VERIFICARE </w:t>
      </w:r>
    </w:p>
    <w:p w14:paraId="3246422C" w14:textId="77777777" w:rsidR="00044FEC" w:rsidRPr="00044FEC" w:rsidRDefault="00044FEC" w:rsidP="00044FEC">
      <w:pPr>
        <w:ind w:firstLine="0"/>
        <w:jc w:val="center"/>
        <w:rPr>
          <w:b/>
          <w:bCs/>
          <w:sz w:val="24"/>
          <w:szCs w:val="24"/>
          <w:lang w:val="ro-RO" w:eastAsia="ko-KR"/>
        </w:rPr>
      </w:pPr>
      <w:r w:rsidRPr="00044FEC">
        <w:rPr>
          <w:b/>
          <w:bCs/>
          <w:sz w:val="24"/>
          <w:szCs w:val="24"/>
          <w:lang w:val="ro-RO"/>
        </w:rPr>
        <w:t xml:space="preserve">a rapoartelor narativ și financiar privind îndeplinirea </w:t>
      </w:r>
      <w:r w:rsidRPr="00044FEC">
        <w:rPr>
          <w:b/>
          <w:bCs/>
          <w:sz w:val="24"/>
          <w:szCs w:val="24"/>
          <w:lang w:val="ro-RO" w:eastAsia="ko-KR"/>
        </w:rPr>
        <w:t>țintelor</w:t>
      </w:r>
    </w:p>
    <w:p w14:paraId="4C654FCD" w14:textId="77777777" w:rsidR="00044FEC" w:rsidRPr="00044FEC" w:rsidRDefault="00044FEC" w:rsidP="00044FEC">
      <w:pPr>
        <w:jc w:val="center"/>
        <w:rPr>
          <w:b/>
          <w:bCs/>
          <w:sz w:val="24"/>
          <w:szCs w:val="24"/>
          <w:lang w:val="ro-RO"/>
        </w:rPr>
      </w:pPr>
    </w:p>
    <w:p w14:paraId="65B33FB1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 Rapoartele narativ și financiar conțin informații privind realizarea responsabilității extinse a producătorului de ordin logistic și financiar, stipulate în Regulament și în Legea nr. 209/2016 privind deșeurile.</w:t>
      </w:r>
    </w:p>
    <w:p w14:paraId="289F496F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Aspectele de verificare a rapoartelor narativ și financiar se axează, dar nu se limitează la următoarele:  </w:t>
      </w:r>
    </w:p>
    <w:p w14:paraId="01D102E4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1) îndeplinirea responsabilităților descrise în capitolele III-VII din Regulament;</w:t>
      </w:r>
    </w:p>
    <w:p w14:paraId="4A6896F4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2) respectarea cerințelor pentru organizarea sistemului colectiv, actualizarea listei producătorilor aderați la sistemul colectiv pe pagina web oficială, constituirea organului de control (cenzorul), prezentarea raportului de audit, după caz;</w:t>
      </w:r>
    </w:p>
    <w:p w14:paraId="2973FC57" w14:textId="77777777" w:rsidR="00044FEC" w:rsidRPr="00044FEC" w:rsidRDefault="00044FEC" w:rsidP="00044FEC">
      <w:pPr>
        <w:contextualSpacing/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3) examinarea corectitudinii rapoartelor privind îndeplinirea țintelor anuale de colectare și valorificare, conform prevederilor Regulamentului și prezentarea documentelor justificative în baza cărora au fost efectuate operațiunile de gestionare a deșeurilor, cu indicarea cantităților colectate și tratate;  </w:t>
      </w:r>
    </w:p>
    <w:p w14:paraId="61A45D16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4) verificarea stadiului dezvoltării infrastructurii de colectare a deșeurilor, cu accent pe următoarele:</w:t>
      </w:r>
    </w:p>
    <w:p w14:paraId="7993F9C4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a) dezvoltarea propriei infrastructuri de colectare (puncte de colectare dotate cu containere prin intermediul producătorilor/distribuitorilor etc.); </w:t>
      </w:r>
    </w:p>
    <w:p w14:paraId="3CE1E02B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b) funcționarea sistemelor de gestionare a respectivelor fluxuri de deșeuri pe tot teritoriul țării, fără a se limita la acele zone în care colectarea și gestionarea deșeurilor sunt cele mai profitabile;</w:t>
      </w:r>
    </w:p>
    <w:p w14:paraId="4061B726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c) încheierea contractelor cu autoritățile administrației publice locale, după caz; </w:t>
      </w:r>
    </w:p>
    <w:p w14:paraId="7FBC0B5C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d) finanțarea costurilor menționate la art. 12 alin. (2</w:t>
      </w:r>
      <w:r w:rsidRPr="00044FEC">
        <w:rPr>
          <w:sz w:val="24"/>
          <w:szCs w:val="24"/>
          <w:vertAlign w:val="superscript"/>
          <w:lang w:val="ro-RO"/>
        </w:rPr>
        <w:t>1</w:t>
      </w:r>
      <w:r w:rsidRPr="00044FEC">
        <w:rPr>
          <w:sz w:val="24"/>
          <w:szCs w:val="24"/>
          <w:lang w:val="ro-RO"/>
        </w:rPr>
        <w:t xml:space="preserve">) </w:t>
      </w:r>
      <w:bookmarkStart w:id="0" w:name="_Hlk201130954"/>
      <w:r w:rsidRPr="00044FEC">
        <w:rPr>
          <w:sz w:val="24"/>
          <w:szCs w:val="24"/>
          <w:lang w:val="ro-RO"/>
        </w:rPr>
        <w:t xml:space="preserve">din Legea </w:t>
      </w:r>
      <w:r w:rsidRPr="00044FEC">
        <w:rPr>
          <w:sz w:val="24"/>
          <w:szCs w:val="24"/>
          <w:lang w:val="ro-RO"/>
        </w:rPr>
        <w:br/>
        <w:t>nr. 209/2016 privind deșeurile</w:t>
      </w:r>
      <w:bookmarkEnd w:id="0"/>
      <w:r w:rsidRPr="00044FEC">
        <w:rPr>
          <w:sz w:val="24"/>
          <w:szCs w:val="24"/>
          <w:lang w:val="ro-RO"/>
        </w:rPr>
        <w:t>, precum și dezvoltarea infrastructurii pentru colectarea deșeurilor de produse reglementate prin responsabilitatea extinsă a producătorului, generate în fluxul de deșeuri municipale;</w:t>
      </w:r>
    </w:p>
    <w:p w14:paraId="6C0CD177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e) încheierea contractelor cu reciclatorii și valorificatorii autorizați care au capacitatea de valorificare a deșeurilor sau a materialelor și a componentelor acestora;</w:t>
      </w:r>
    </w:p>
    <w:p w14:paraId="42CCA49D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5) verificarea conformității raportărilor în relația cu generatorii de DBA, colectorii de DBA și valorificatorii de DBA;  </w:t>
      </w:r>
    </w:p>
    <w:p w14:paraId="3FD3E18B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6) verificarea aspectelor financiare, după cum urmează:</w:t>
      </w:r>
    </w:p>
    <w:p w14:paraId="3E80686A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a) afișarea valorii tarifelor de preluare a responsabilității de gestionare a deșeurilor pe pagina web oficială; </w:t>
      </w:r>
    </w:p>
    <w:p w14:paraId="5F3278F5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b) prezentarea și descrierea costurilor operaționale de gestionare a DBA; </w:t>
      </w:r>
    </w:p>
    <w:p w14:paraId="2E572FAA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c) contribuțiile financiare acoperă toate costurile eligibile prevăzute la </w:t>
      </w:r>
      <w:r w:rsidRPr="00044FEC">
        <w:rPr>
          <w:sz w:val="24"/>
          <w:szCs w:val="24"/>
          <w:lang w:val="ro-RO"/>
        </w:rPr>
        <w:br/>
        <w:t>art. 12 alin. (2</w:t>
      </w:r>
      <w:r w:rsidRPr="00044FEC">
        <w:rPr>
          <w:sz w:val="24"/>
          <w:szCs w:val="24"/>
          <w:vertAlign w:val="superscript"/>
          <w:lang w:val="ro-RO"/>
        </w:rPr>
        <w:t>1</w:t>
      </w:r>
      <w:r w:rsidRPr="00044FEC">
        <w:rPr>
          <w:sz w:val="24"/>
          <w:szCs w:val="24"/>
          <w:lang w:val="ro-RO"/>
        </w:rPr>
        <w:t>) din Legea nr. 209/2016 privind deșeurile;</w:t>
      </w:r>
    </w:p>
    <w:p w14:paraId="61CC4C5F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7) verificarea trasabilității deșeurilor de BA de la punctul de colectare/colector până la predarea la instalația de tratare/valorificare;   </w:t>
      </w:r>
    </w:p>
    <w:p w14:paraId="759ABA84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8) rezultatele controalelor efectuate de către Inspectoratul pentru Protecția Mediului, după caz;  </w:t>
      </w:r>
    </w:p>
    <w:p w14:paraId="4BF24A45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9) respectarea cerințelor din autorizația de mediu pentru gestionarea deșeurilor, după caz;  </w:t>
      </w:r>
    </w:p>
    <w:p w14:paraId="29181DB2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10) confirmarea constituirii garanției financiare/provizionului în forma aplicabilă fiecărei categorii de producători individuali/reprezentanți autorizați/organizații colective;</w:t>
      </w:r>
    </w:p>
    <w:p w14:paraId="1D380D55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11) îndeplinirea țintelor anuale de colectare, tratare și valorificare, conform prevederilor Regulamentului;</w:t>
      </w:r>
    </w:p>
    <w:p w14:paraId="0A643D4A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lastRenderedPageBreak/>
        <w:t xml:space="preserve">12) asigurarea transparenței față de toți producătorii pentru care </w:t>
      </w:r>
      <w:bookmarkStart w:id="1" w:name="_Hlk210397729"/>
      <w:r w:rsidRPr="00044FEC">
        <w:rPr>
          <w:sz w:val="24"/>
          <w:szCs w:val="24"/>
          <w:lang w:val="ro-RO"/>
        </w:rPr>
        <w:t xml:space="preserve">sistemul colectiv a </w:t>
      </w:r>
      <w:bookmarkEnd w:id="1"/>
      <w:r w:rsidRPr="00044FEC">
        <w:rPr>
          <w:sz w:val="24"/>
          <w:szCs w:val="24"/>
          <w:lang w:val="ro-RO"/>
        </w:rPr>
        <w:t xml:space="preserve">preluat responsabilitatea, după caz;   </w:t>
      </w:r>
    </w:p>
    <w:p w14:paraId="428FF754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13) respectarea acelorași tarife de preluare a responsabilității de gestionare a DBA față de toți producătorii pentru care sistemul colectiv a preluat responsabilitatea, </w:t>
      </w:r>
      <w:bookmarkStart w:id="2" w:name="_Hlk210397717"/>
      <w:r w:rsidRPr="00044FEC">
        <w:rPr>
          <w:sz w:val="24"/>
          <w:szCs w:val="24"/>
          <w:lang w:val="ro-RO"/>
        </w:rPr>
        <w:t>după caz</w:t>
      </w:r>
      <w:bookmarkEnd w:id="2"/>
      <w:r w:rsidRPr="00044FEC">
        <w:rPr>
          <w:sz w:val="24"/>
          <w:szCs w:val="24"/>
          <w:lang w:val="ro-RO"/>
        </w:rPr>
        <w:t xml:space="preserve">;  </w:t>
      </w:r>
    </w:p>
    <w:p w14:paraId="28103B3E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14) specificarea dacă s-a reinvestit profitul în aceleași tipuri de activități întreprinse în vederea îndeplinirii obligațiilor pentru care sistemul colectiv a preluat responsabilitatea, după caz;   </w:t>
      </w:r>
    </w:p>
    <w:p w14:paraId="11BD7851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15) descrierea acțiunilor de informare a publicului:</w:t>
      </w:r>
    </w:p>
    <w:p w14:paraId="2CBD7725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a) desfășurarea campaniilor de informare pentru consumatori și utilizatori;</w:t>
      </w:r>
    </w:p>
    <w:p w14:paraId="7B90975C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b) furnizarea informațiilor publice transparente despre colectarea și tratarea deșeurilor cu privire la atingerea țintelor; </w:t>
      </w:r>
    </w:p>
    <w:p w14:paraId="750BAB37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c) în cazul îndeplinirii în mod colectiv a obligațiilor aferente responsabilității extinse a producătorului, informații cu privire la:</w:t>
      </w:r>
    </w:p>
    <w:p w14:paraId="5BB4547D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- fondatorii și membrii sistemului colectiv;</w:t>
      </w:r>
    </w:p>
    <w:p w14:paraId="301A34D3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- contribuțiile financiare plătite de producătorii de produse pe unitate vândută sau pe tonă de produs plasat pe piață; </w:t>
      </w:r>
    </w:p>
    <w:p w14:paraId="78694E54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>- procedura de selecție a operatorilor care se ocupă de gestionarea deșeurilor;</w:t>
      </w:r>
    </w:p>
    <w:p w14:paraId="7AEED7E2" w14:textId="77777777" w:rsidR="00044FEC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16) evidențierea riscurilor la care este expus sistemul individual/sistemul colectiv și modul de remediere;  </w:t>
      </w:r>
    </w:p>
    <w:p w14:paraId="45606E6F" w14:textId="3E9015A1" w:rsidR="00B32DE8" w:rsidRPr="00044FEC" w:rsidRDefault="00044FEC" w:rsidP="00044FEC">
      <w:pPr>
        <w:rPr>
          <w:sz w:val="24"/>
          <w:szCs w:val="24"/>
          <w:lang w:val="ro-RO"/>
        </w:rPr>
      </w:pPr>
      <w:r w:rsidRPr="00044FEC">
        <w:rPr>
          <w:sz w:val="24"/>
          <w:szCs w:val="24"/>
          <w:lang w:val="ro-RO"/>
        </w:rPr>
        <w:t xml:space="preserve">17) elementele interne și externe care împiedică </w:t>
      </w:r>
      <w:bookmarkStart w:id="3" w:name="_Hlk210397774"/>
      <w:r w:rsidRPr="00044FEC">
        <w:rPr>
          <w:sz w:val="24"/>
          <w:szCs w:val="24"/>
          <w:lang w:val="ro-RO"/>
        </w:rPr>
        <w:t xml:space="preserve">sistemul individual/sistemul colectiv </w:t>
      </w:r>
      <w:bookmarkEnd w:id="3"/>
      <w:r w:rsidRPr="00044FEC">
        <w:rPr>
          <w:sz w:val="24"/>
          <w:szCs w:val="24"/>
          <w:lang w:val="ro-RO"/>
        </w:rPr>
        <w:t>să își îndeplinească obiectivele de colectare și valorificare a DBA.</w:t>
      </w:r>
    </w:p>
    <w:sectPr w:rsidR="00B32DE8" w:rsidRPr="00044FEC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FEC"/>
    <w:rsid w:val="00044FEC"/>
    <w:rsid w:val="0058181B"/>
    <w:rsid w:val="005C0197"/>
    <w:rsid w:val="006D1F82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43EF"/>
  <w15:chartTrackingRefBased/>
  <w15:docId w15:val="{3B6E92EE-ADCB-4393-8EEB-8E42D4AF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FE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44FEC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4FEC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4FEC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4FEC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4FEC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4FEC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4FEC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4FEC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4FEC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4FE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4F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4FE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4FEC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44FEC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44FE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44FEC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4FE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4FEC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044FEC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44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4FEC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44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4FEC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44FEC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044FEC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044FEC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4FE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44FEC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044FE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2025-11-07T07:29:00Z</dcterms:created>
  <dcterms:modified xsi:type="dcterms:W3CDTF">2025-11-07T07:29:00Z</dcterms:modified>
</cp:coreProperties>
</file>